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50" w:before="0"/>
      </w:pPr>
      <w:r>
        <w:rPr>
          <w:rFonts w:ascii="Calibri" w:cs="Calibri" w:eastAsia="Calibri" w:hAnsi="Calibri"/>
          <w:b/>
          <w:bCs/>
          <w:caps/>
          <w:color w:val="4A6B17"/>
          <w:spacing w:val="24"/>
          <w:sz w:val="18"/>
          <w:szCs w:val="18"/>
        </w:rPr>
        <w:t xml:space="preserve">Annual report</w:t>
      </w:r>
    </w:p>
    <w:p>
      <w:pPr>
        <w:pStyle w:val="Heading1"/>
        <w:keepNext/>
        <w:spacing w:after="80" w:before="0"/>
      </w:pPr>
      <w:r>
        <w:rPr>
          <w:rFonts w:ascii="Calibri" w:cs="Calibri" w:eastAsia="Calibri" w:hAnsi="Calibri"/>
          <w:b/>
          <w:bCs/>
          <w:color w:val="021358"/>
          <w:sz w:val="40"/>
          <w:szCs w:val="40"/>
        </w:rPr>
        <w:t xml:space="preserve">Annual review</w:t>
      </w:r>
    </w:p>
    <w:p>
      <w:pPr>
        <w:spacing w:after="220" w:line="312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470"/>
          <w:sz w:val="24"/>
          <w:szCs w:val="24"/>
        </w:rPr>
        <w:t xml:space="preserve">The year’s account, in a form a faculty board, a funder or a partner can read without further explanation.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2800"/>
        <w:gridCol w:w="6839"/>
      </w:tblGrid>
      <w:tr>
        <w:tc>
          <w:tcPr>
            <w:tcW w:type="dxa" w:w="28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Reporting year</w:t>
            </w:r>
          </w:p>
        </w:tc>
        <w:tc>
          <w:tcPr>
            <w:tcW w:type="dxa" w:w="6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[yyyy]</w:t>
            </w:r>
          </w:p>
        </w:tc>
      </w:tr>
    </w:tbl>
    <w:p>
      <w:pPr>
        <w:spacing w:after="140"/>
      </w:pP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9"/>
      </w:tblGrid>
      <w:tr>
        <w:tc>
          <w:tcPr>
            <w:tcW w:type="dxa" w:w="9639"/>
            <w:tcBorders>
              <w:top w:val="none" w:color="auto" w:sz="0"/>
              <w:left w:val="single" w:color="FF6000" w:sz="18"/>
              <w:bottom w:val="none" w:color="auto" w:sz="0"/>
              <w:right w:val="none" w:color="auto" w:sz="0"/>
            </w:tcBorders>
            <w:shd w:fill="FFF4EC" w:color="auto" w:val="clear"/>
            <w:tcMar>
              <w:top w:type="dxa" w:w="150"/>
              <w:left w:type="dxa" w:w="190"/>
              <w:bottom w:type="dxa" w:w="150"/>
              <w:right w:type="dxa" w:w="190"/>
            </w:tcMar>
          </w:tcPr>
          <w:p>
            <w:pPr>
              <w:keepNext w:val="false"/>
              <w:spacing w:after="80" w:before="0" w:line="276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1358"/>
                <w:sz w:val="22"/>
                <w:szCs w:val="22"/>
              </w:rPr>
              <w:t xml:space="preserve">How to use this template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Fill the tables first and write the prose afterwards — otherwise the prose promises what the numbers do not support.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Every figure needs a source and a reference date. State them under “Method notes”.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Keep the same structure every year; comparability is the whole value of this document.</w:t>
            </w:r>
          </w:p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B83C00"/>
                <w:sz w:val="20"/>
                <w:szCs w:val="20"/>
              </w:rPr>
              <w:t xml:space="preserve">Every field in [brackets and orange] gets replaced. Delete this panel before the document is circulated.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From the Director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[Two to three paragraphs: what changed this year, what we keep, what was difficult]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The year at a glance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3400"/>
        <w:gridCol w:w="1700"/>
        <w:gridCol w:w="1700"/>
        <w:gridCol w:w="2839"/>
      </w:tblGrid>
      <w:tr>
        <w:trPr>
          <w:tblHeader/>
        </w:trPr>
        <w:tc>
          <w:tcPr>
            <w:tcW w:type="dxa" w:w="34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Indicator</w:t>
            </w:r>
          </w:p>
        </w:tc>
        <w:tc>
          <w:tcPr>
            <w:tcW w:type="dxa" w:w="17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This year</w:t>
            </w:r>
          </w:p>
        </w:tc>
        <w:tc>
          <w:tcPr>
            <w:tcW w:type="dxa" w:w="17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Last year</w:t>
            </w:r>
          </w:p>
        </w:tc>
        <w:tc>
          <w:tcPr>
            <w:tcW w:type="dxa" w:w="28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Note</w:t>
            </w:r>
          </w:p>
        </w:tc>
      </w:tr>
      <w:tr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Peer-reviewed journal articles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[note]</w:t>
            </w:r>
          </w:p>
        </w:tc>
      </w:tr>
      <w:tr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Active research projects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[note]</w:t>
            </w:r>
          </w:p>
        </w:tc>
      </w:tr>
      <w:tr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New funding secured (€)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[note]</w:t>
            </w:r>
          </w:p>
        </w:tc>
      </w:tr>
      <w:tr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Study participants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[note]</w:t>
            </w:r>
          </w:p>
        </w:tc>
      </w:tr>
      <w:tr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Theses and doctorates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[note]</w:t>
            </w:r>
          </w:p>
        </w:tc>
      </w:tr>
      <w:tr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Clinical assessments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[note]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Research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[One paragraph per research direction: what advanced and what it means]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Projects and funding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2500"/>
        <w:gridCol w:w="1900"/>
        <w:gridCol w:w="2000"/>
        <w:gridCol w:w="1600"/>
        <w:gridCol w:w="1639"/>
      </w:tblGrid>
      <w:tr>
        <w:trPr>
          <w:tblHeader/>
        </w:trPr>
        <w:tc>
          <w:tcPr>
            <w:tcW w:type="dxa" w:w="25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Project</w:t>
            </w:r>
          </w:p>
        </w:tc>
        <w:tc>
          <w:tcPr>
            <w:tcW w:type="dxa" w:w="19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Funder</w:t>
            </w:r>
          </w:p>
        </w:tc>
        <w:tc>
          <w:tcPr>
            <w:tcW w:type="dxa" w:w="20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6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Period</w:t>
            </w:r>
          </w:p>
        </w:tc>
        <w:tc>
          <w:tcPr>
            <w:tcW w:type="dxa" w:w="16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Budget</w:t>
            </w:r>
          </w:p>
        </w:tc>
      </w:tr>
      <w:tr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[title]</w:t>
            </w:r>
          </w:p>
        </w:tc>
        <w:tc>
          <w:tcPr>
            <w:tcW w:type="dxa" w:w="19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[body]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[coordinator/partner]</w:t>
            </w:r>
          </w:p>
        </w:tc>
        <w:tc>
          <w:tcPr>
            <w:tcW w:type="dxa" w:w="16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[2025–2027]</w:t>
            </w:r>
          </w:p>
        </w:tc>
        <w:tc>
          <w:tcPr>
            <w:tcW w:type="dxa" w:w="1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[€]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Publications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5200"/>
        <w:gridCol w:w="4439"/>
      </w:tblGrid>
      <w:tr>
        <w:trPr>
          <w:tblHeader/>
        </w:trPr>
        <w:tc>
          <w:tcPr>
            <w:tcW w:type="dxa" w:w="52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44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Peer-reviewed journal articles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Conference presentations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Book chapters and other outputs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Open access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</w:tbl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C6470"/>
          <w:sz w:val="20"/>
          <w:szCs w:val="20"/>
        </w:rPr>
        <w:t xml:space="preserve">Full list: see “Year-by-year publication list” (CL-TPL-07).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People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[Joined — name, role, month]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[Left — name, where they went next]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[Completed theses — name, title, supervisor]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Clinical and educational activity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[Volume and type of activity; what changed in the workflow]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Facilities and equipment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[New or upgraded equipment — what it enables that was not possible before]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Outreach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[Event, media coverage or community collaboration]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Priorities for the year ahead</w:t>
      </w:r>
    </w:p>
    <w:p>
      <w:pPr>
        <w:pStyle w:val="ListParagraph"/>
        <w:numPr>
          <w:ilvl w:val="0"/>
          <w:numId w:val="3"/>
        </w:numPr>
        <w:spacing w:after="11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[Priority — and how we will know it was met]</w:t>
      </w:r>
    </w:p>
    <w:p>
      <w:pPr>
        <w:pStyle w:val="ListParagraph"/>
        <w:numPr>
          <w:ilvl w:val="0"/>
          <w:numId w:val="3"/>
        </w:numPr>
        <w:spacing w:after="11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[Priority]</w:t>
      </w:r>
    </w:p>
    <w:p>
      <w:pPr>
        <w:pStyle w:val="ListParagraph"/>
        <w:numPr>
          <w:ilvl w:val="0"/>
          <w:numId w:val="3"/>
        </w:numPr>
        <w:spacing w:after="11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[Priority]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Method notes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[Reporting period, data extraction date, sources (e.g. Scopus, project register), what was excluded and why]</w:t>
      </w:r>
    </w:p>
    <w:sectPr>
      <w:headerReference w:type="default" r:id="rId7"/>
      <w:footerReference w:type="default" r:id="rId8"/>
      <w:pgSz w:w="11905" w:h="16837" w:orient="portrait"/>
      <w:pgMar w:top="1700" w:right="1133" w:bottom="1133" w:left="1133" w:header="70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6D0DA" w:sz="4" w:space="6"/>
      </w:pBdr>
      <w:tabs>
        <w:tab w:val="center" w:pos="4819"/>
        <w:tab w:val="right" w:pos="9639"/>
      </w:tabs>
      <w:spacing w:after="0" w:before="0"/>
    </w:pPr>
    <w:r>
      <w:rPr>
        <w:rFonts w:ascii="Calibri" w:cs="Calibri" w:eastAsia="Calibri" w:hAnsi="Calibri"/>
        <w:color w:val="5C6470"/>
        <w:sz w:val="18"/>
        <w:szCs w:val="18"/>
      </w:rPr>
      <w:t xml:space="preserve">CeprLab · University of Thessaly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CL-TPL-03 · v</w:t>
    </w:r>
    <w:r>
      <w:rPr>
        <w:rFonts w:ascii="Consolas" w:cs="Consolas" w:eastAsia="Consolas" w:hAnsi="Consolas"/>
        <w:color w:val="B83C00"/>
        <w:sz w:val="18"/>
        <w:szCs w:val="18"/>
      </w:rPr>
      <w:t xml:space="preserve">[x.y]</w:t>
    </w:r>
    <w:r>
      <w:rPr>
        <w:rFonts w:ascii="Calibri" w:cs="Calibri" w:eastAsia="Calibri" w:hAnsi="Calibri"/>
        <w:color w:val="5C6470"/>
        <w:sz w:val="18"/>
        <w:szCs w:val="18"/>
      </w:rPr>
      <w:t xml:space="preserve">	Page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6470"/>
        <w:sz w:val="18"/>
        <w:szCs w:val="18"/>
      </w:rPr>
      <w:t xml:space="preserve"> /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639"/>
      </w:tabs>
      <w:spacing w:after="20" w:line="620" w:lineRule="atLeast"/>
    </w:pPr>
    <w:r>
      <w:drawing>
        <wp:inline distT="0" distB="0" distL="0" distR="0">
          <wp:extent cx="247650" cy="247650"/>
          <wp:effectExtent t="0" r="0" b="0" l="0"/>
          <wp:docPr id="1" name="CeprLab" descr="CeprLab mark: a white letter C on a dark blue rounded square." title="Cepr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b/>
        <w:bCs/>
        <w:color w:val="021358"/>
        <w:sz w:val="26"/>
        <w:szCs w:val="26"/>
      </w:rPr>
      <w:t xml:space="preserve">  CeprLab</w:t>
    </w:r>
    <w:r>
      <w:rPr>
        <w:rFonts w:ascii="Calibri" w:cs="Calibri" w:eastAsia="Calibri" w:hAnsi="Calibri"/>
        <w:b/>
        <w:bCs/>
        <w:caps/>
        <w:color w:val="B83C00"/>
        <w:spacing w:val="28"/>
        <w:sz w:val="18"/>
        <w:szCs w:val="18"/>
      </w:rPr>
      <w:t xml:space="preserve">	Template</w:t>
    </w:r>
  </w:p>
  <w:p>
    <w:pPr>
      <w:pBdr>
        <w:bottom w:val="single" w:color="A6CE39" w:sz="12" w:space="3"/>
      </w:pBdr>
      <w:tabs>
        <w:tab w:val="right" w:pos="9639"/>
      </w:tabs>
      <w:spacing w:after="0"/>
    </w:pPr>
    <w:r>
      <w:rPr>
        <w:rFonts w:ascii="Calibri" w:cs="Calibri" w:eastAsia="Calibri" w:hAnsi="Calibri"/>
        <w:color w:val="5C6470"/>
        <w:sz w:val="18"/>
        <w:szCs w:val="18"/>
      </w:rPr>
      <w:t xml:space="preserve">University of Thessaly · Department of Physiotherapy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rFonts w:ascii="Calibri" w:cs="Calibri" w:eastAsia="Calibri" w:hAnsi="Calibri"/>
        <w:color w:val="253B80"/>
      </w:rPr>
    </w:lvl>
    <w:lvl w:ilvl="1" w15:tentative="1">
      <w:start w:val="1"/>
      <w:numFmt w:val="bullet"/>
      <w:lvlText w:val="–"/>
      <w:lvlJc w:val="left"/>
      <w:pPr>
        <w:ind w:left="720" w:hanging="220"/>
      </w:pPr>
      <w:rPr>
        <w:rFonts w:ascii="Calibri" w:cs="Calibri" w:eastAsia="Calibri" w:hAnsi="Calibri"/>
        <w:color w:val="5C64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420"/>
      </w:pPr>
      <w:rPr>
        <w:rFonts w:ascii="Calibri" w:cs="Calibri" w:eastAsia="Calibri" w:hAnsi="Calibri"/>
        <w:b/>
        <w:bCs/>
        <w:color w:val="253B80"/>
      </w:rPr>
    </w:lvl>
    <w:lvl w:ilvl="1" w15:tentative="1">
      <w:start w:val="1"/>
      <w:numFmt w:val="lowerLetter"/>
      <w:lvlText w:val="%2)"/>
      <w:lvlJc w:val="left"/>
      <w:pPr>
        <w:ind w:left="840" w:hanging="360"/>
      </w:pPr>
      <w:rPr>
        <w:rFonts w:ascii="Calibri" w:cs="Calibri" w:eastAsia="Calibri" w:hAnsi="Calibri"/>
        <w:color w:val="253B8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  <w:lang w:val="en-GB"/>
      </w:rPr>
    </w:rPrDefault>
    <w:pPrDefault>
      <w:pPr>
        <w:spacing w:after="13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21358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253B8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1F2937"/>
      <w:sz w:val="23"/>
      <w:szCs w:val="23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92740c353e41f3d209051b5f556c60bc0ce235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CeprLab · Annual review — template</dc:title>
  <dc:subject>CeprLab · Annual review — template</dc:subject>
  <dc:creator>CeprLab — University of Thessaly · Department of Physiotherapy</dc:creator>
  <cp:keywords>CeprLab, template, annual-review</cp:keywords>
  <dc:description>CeprLab · Annual review — template</dc:description>
  <cp:lastModifiedBy>Un-named</cp:lastModifiedBy>
  <cp:revision>1</cp:revision>
  <dcterms:created xsi:type="dcterms:W3CDTF">2026-08-07T06:32:04.191Z</dcterms:created>
  <dcterms:modified xsi:type="dcterms:W3CDTF">2026-08-07T06:32:04.191Z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